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tblCellMar>
          <w:top w:w="45" w:type="dxa"/>
          <w:left w:w="45" w:type="dxa"/>
          <w:bottom w:w="45" w:type="dxa"/>
          <w:right w:w="45" w:type="dxa"/>
        </w:tblCellMar>
        <w:tblLook w:val="0000" w:firstRow="0" w:lastRow="0" w:firstColumn="0" w:lastColumn="0" w:noHBand="0" w:noVBand="0"/>
      </w:tblPr>
      <w:tblGrid>
        <w:gridCol w:w="9750"/>
      </w:tblGrid>
      <w:tr w:rsidR="00FD63D3" w:rsidRPr="00FD63D3" w14:paraId="69F1BA17" w14:textId="77777777">
        <w:tc>
          <w:tcPr>
            <w:tcW w:w="0" w:type="auto"/>
            <w:tcBorders>
              <w:top w:val="nil"/>
              <w:left w:val="nil"/>
              <w:bottom w:val="nil"/>
              <w:right w:val="nil"/>
            </w:tcBorders>
            <w:shd w:val="clear" w:color="auto" w:fill="auto"/>
            <w:vAlign w:val="center"/>
          </w:tcPr>
          <w:p w14:paraId="5EC941E4" w14:textId="77777777" w:rsidR="00DE3885" w:rsidRPr="00FD63D3" w:rsidRDefault="00DE3885" w:rsidP="00DE3885">
            <w:pPr>
              <w:rPr>
                <w:rFonts w:ascii="Times New Roman" w:hAnsi="Times New Roman"/>
                <w:sz w:val="24"/>
                <w:szCs w:val="24"/>
              </w:rPr>
            </w:pPr>
            <w:r w:rsidRPr="00FD63D3">
              <w:rPr>
                <w:rFonts w:cs="Arial"/>
                <w:b/>
                <w:bCs/>
                <w:sz w:val="27"/>
                <w:szCs w:val="27"/>
              </w:rPr>
              <w:t>Titan Missile Technical Information</w:t>
            </w:r>
          </w:p>
        </w:tc>
      </w:tr>
    </w:tbl>
    <w:p w14:paraId="797D04A1" w14:textId="77777777" w:rsidR="00DE3885" w:rsidRPr="00FD63D3" w:rsidRDefault="00DE3885" w:rsidP="00DE3885">
      <w:pPr>
        <w:rPr>
          <w:rFonts w:ascii="Times New Roman" w:hAnsi="Times New Roman"/>
          <w:vanish/>
          <w:sz w:val="24"/>
          <w:szCs w:val="24"/>
        </w:rPr>
      </w:pPr>
    </w:p>
    <w:tbl>
      <w:tblPr>
        <w:tblW w:w="9750" w:type="dxa"/>
        <w:tblCellMar>
          <w:top w:w="45" w:type="dxa"/>
          <w:left w:w="45" w:type="dxa"/>
          <w:bottom w:w="45" w:type="dxa"/>
          <w:right w:w="45" w:type="dxa"/>
        </w:tblCellMar>
        <w:tblLook w:val="0000" w:firstRow="0" w:lastRow="0" w:firstColumn="0" w:lastColumn="0" w:noHBand="0" w:noVBand="0"/>
      </w:tblPr>
      <w:tblGrid>
        <w:gridCol w:w="9750"/>
      </w:tblGrid>
      <w:tr w:rsidR="00FD63D3" w:rsidRPr="00FD63D3" w14:paraId="25521E1E" w14:textId="77777777">
        <w:tc>
          <w:tcPr>
            <w:tcW w:w="0" w:type="auto"/>
            <w:tcBorders>
              <w:top w:val="nil"/>
              <w:left w:val="nil"/>
              <w:bottom w:val="nil"/>
              <w:right w:val="nil"/>
            </w:tcBorders>
            <w:shd w:val="clear" w:color="auto" w:fill="auto"/>
            <w:vAlign w:val="center"/>
          </w:tcPr>
          <w:p w14:paraId="4C27937E" w14:textId="77777777" w:rsidR="00DE3885" w:rsidRPr="00FD63D3" w:rsidRDefault="00DE3885" w:rsidP="00DE3885">
            <w:pPr>
              <w:rPr>
                <w:rFonts w:ascii="Times New Roman" w:hAnsi="Times New Roman"/>
                <w:sz w:val="24"/>
                <w:szCs w:val="24"/>
              </w:rPr>
            </w:pPr>
          </w:p>
        </w:tc>
      </w:tr>
    </w:tbl>
    <w:p w14:paraId="5A5A3A77" w14:textId="77777777" w:rsidR="00DE3885" w:rsidRPr="00FD63D3" w:rsidRDefault="00DE3885" w:rsidP="00DE3885">
      <w:pPr>
        <w:rPr>
          <w:rFonts w:ascii="Times New Roman" w:hAnsi="Times New Roman"/>
          <w:vanish/>
          <w:sz w:val="24"/>
          <w:szCs w:val="24"/>
        </w:rPr>
      </w:pPr>
    </w:p>
    <w:tbl>
      <w:tblPr>
        <w:tblW w:w="9750" w:type="dxa"/>
        <w:tblCellMar>
          <w:top w:w="45" w:type="dxa"/>
          <w:left w:w="45" w:type="dxa"/>
          <w:bottom w:w="45" w:type="dxa"/>
          <w:right w:w="45" w:type="dxa"/>
        </w:tblCellMar>
        <w:tblLook w:val="0000" w:firstRow="0" w:lastRow="0" w:firstColumn="0" w:lastColumn="0" w:noHBand="0" w:noVBand="0"/>
      </w:tblPr>
      <w:tblGrid>
        <w:gridCol w:w="2310"/>
        <w:gridCol w:w="7440"/>
      </w:tblGrid>
      <w:tr w:rsidR="00FD63D3" w:rsidRPr="00FD63D3" w14:paraId="46CA21D2" w14:textId="77777777">
        <w:tc>
          <w:tcPr>
            <w:tcW w:w="1155" w:type="dxa"/>
            <w:tcBorders>
              <w:top w:val="nil"/>
              <w:left w:val="nil"/>
              <w:bottom w:val="nil"/>
              <w:right w:val="nil"/>
            </w:tcBorders>
            <w:shd w:val="clear" w:color="auto" w:fill="auto"/>
            <w:vAlign w:val="center"/>
          </w:tcPr>
          <w:p w14:paraId="5281D1B4" w14:textId="41AEBD8A" w:rsidR="00DE3885" w:rsidRPr="00FD63D3" w:rsidRDefault="00FD63D3" w:rsidP="00DE3885">
            <w:pPr>
              <w:rPr>
                <w:rFonts w:ascii="Times New Roman" w:hAnsi="Times New Roman"/>
                <w:sz w:val="24"/>
                <w:szCs w:val="24"/>
              </w:rPr>
            </w:pPr>
            <w:r w:rsidRPr="00FD63D3">
              <w:rPr>
                <w:rFonts w:ascii="Times New Roman" w:hAnsi="Times New Roman"/>
                <w:noProof/>
                <w:sz w:val="24"/>
                <w:szCs w:val="24"/>
              </w:rPr>
              <w:drawing>
                <wp:inline distT="0" distB="0" distL="0" distR="0" wp14:anchorId="332B372B" wp14:editId="43A590BF">
                  <wp:extent cx="1409700" cy="705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7058025"/>
                          </a:xfrm>
                          <a:prstGeom prst="rect">
                            <a:avLst/>
                          </a:prstGeom>
                          <a:noFill/>
                          <a:ln>
                            <a:noFill/>
                          </a:ln>
                        </pic:spPr>
                      </pic:pic>
                    </a:graphicData>
                  </a:graphic>
                </wp:inline>
              </w:drawing>
            </w:r>
          </w:p>
        </w:tc>
        <w:tc>
          <w:tcPr>
            <w:tcW w:w="8415" w:type="dxa"/>
            <w:tcBorders>
              <w:top w:val="nil"/>
              <w:left w:val="nil"/>
              <w:bottom w:val="nil"/>
              <w:right w:val="nil"/>
            </w:tcBorders>
            <w:shd w:val="clear" w:color="auto" w:fill="auto"/>
          </w:tcPr>
          <w:tbl>
            <w:tblPr>
              <w:tblW w:w="7350" w:type="dxa"/>
              <w:tblCellMar>
                <w:top w:w="45" w:type="dxa"/>
                <w:left w:w="45" w:type="dxa"/>
                <w:bottom w:w="45" w:type="dxa"/>
                <w:right w:w="45" w:type="dxa"/>
              </w:tblCellMar>
              <w:tblLook w:val="0000" w:firstRow="0" w:lastRow="0" w:firstColumn="0" w:lastColumn="0" w:noHBand="0" w:noVBand="0"/>
            </w:tblPr>
            <w:tblGrid>
              <w:gridCol w:w="7350"/>
            </w:tblGrid>
            <w:tr w:rsidR="00DE3885" w:rsidRPr="00FD63D3" w14:paraId="70BD41BB" w14:textId="77777777">
              <w:tc>
                <w:tcPr>
                  <w:tcW w:w="0" w:type="auto"/>
                  <w:tcBorders>
                    <w:top w:val="nil"/>
                    <w:left w:val="nil"/>
                    <w:bottom w:val="nil"/>
                    <w:right w:val="nil"/>
                  </w:tcBorders>
                  <w:shd w:val="clear" w:color="auto" w:fill="auto"/>
                  <w:vAlign w:val="center"/>
                </w:tcPr>
                <w:p w14:paraId="2CD78822" w14:textId="77777777" w:rsidR="00FD63D3" w:rsidRPr="00FD63D3" w:rsidRDefault="00DE3885" w:rsidP="00DE3885">
                  <w:pPr>
                    <w:rPr>
                      <w:rFonts w:cs="Arial"/>
                      <w:sz w:val="22"/>
                      <w:szCs w:val="22"/>
                    </w:rPr>
                  </w:pPr>
                  <w:r w:rsidRPr="00FD63D3">
                    <w:rPr>
                      <w:rFonts w:cs="Arial"/>
                      <w:sz w:val="22"/>
                      <w:szCs w:val="22"/>
                    </w:rPr>
                    <w:t>The Titan was a spin-off from the Atlas Missile Program. The Atlas was essentially a giant fuel tank with guidance equipment and warhead on the nose and engines at the rear. The fuel tank was the structure. It was a single stage missile.</w:t>
                  </w:r>
                </w:p>
                <w:p w14:paraId="676BD85E" w14:textId="21475941" w:rsidR="00FD63D3" w:rsidRPr="00FD63D3" w:rsidRDefault="00DE3885" w:rsidP="00DE3885">
                  <w:pPr>
                    <w:rPr>
                      <w:rFonts w:cs="Arial"/>
                      <w:sz w:val="22"/>
                      <w:szCs w:val="22"/>
                    </w:rPr>
                  </w:pPr>
                  <w:r w:rsidRPr="00FD63D3">
                    <w:rPr>
                      <w:rFonts w:cs="Arial"/>
                      <w:sz w:val="22"/>
                      <w:szCs w:val="22"/>
                    </w:rPr>
                    <w:br/>
                    <w:t>The Titan was a two stage missile. This necessitated an internal structure. Each of the two stages carried liquid oxygen and rocket propulsion fuel.</w:t>
                  </w:r>
                  <w:r w:rsidRPr="00FD63D3">
                    <w:rPr>
                      <w:rFonts w:cs="Arial"/>
                      <w:sz w:val="22"/>
                      <w:szCs w:val="22"/>
                    </w:rPr>
                    <w:br/>
                    <w:t>The most notable difference between the Titan</w:t>
                  </w:r>
                  <w:r w:rsidR="00FD63D3" w:rsidRPr="00FD63D3">
                    <w:rPr>
                      <w:rFonts w:cs="Arial"/>
                      <w:sz w:val="22"/>
                      <w:szCs w:val="22"/>
                    </w:rPr>
                    <w:t>-</w:t>
                  </w:r>
                  <w:r w:rsidRPr="00FD63D3">
                    <w:rPr>
                      <w:rFonts w:cs="Arial"/>
                      <w:sz w:val="22"/>
                      <w:szCs w:val="22"/>
                    </w:rPr>
                    <w:t xml:space="preserve">I and Titan II was the type of oxidizer and propellant each used. </w:t>
                  </w:r>
                </w:p>
                <w:p w14:paraId="6FF5CB6C" w14:textId="77777777" w:rsidR="00FD63D3" w:rsidRPr="00FD63D3" w:rsidRDefault="00FD63D3" w:rsidP="00DE3885">
                  <w:pPr>
                    <w:rPr>
                      <w:rFonts w:cs="Arial"/>
                      <w:sz w:val="22"/>
                      <w:szCs w:val="22"/>
                    </w:rPr>
                  </w:pPr>
                </w:p>
                <w:p w14:paraId="1A45B633" w14:textId="5BB15278" w:rsidR="00DE3885" w:rsidRPr="00FD63D3" w:rsidRDefault="00DE3885" w:rsidP="00DE3885">
                  <w:pPr>
                    <w:rPr>
                      <w:rFonts w:cs="Arial"/>
                      <w:sz w:val="22"/>
                      <w:szCs w:val="22"/>
                    </w:rPr>
                  </w:pPr>
                  <w:r w:rsidRPr="00FD63D3">
                    <w:rPr>
                      <w:rFonts w:cs="Arial"/>
                      <w:sz w:val="22"/>
                      <w:szCs w:val="22"/>
                    </w:rPr>
                    <w:t>Titan</w:t>
                  </w:r>
                  <w:r w:rsidR="00FD63D3" w:rsidRPr="00FD63D3">
                    <w:rPr>
                      <w:rFonts w:cs="Arial"/>
                      <w:sz w:val="22"/>
                      <w:szCs w:val="22"/>
                    </w:rPr>
                    <w:t>-</w:t>
                  </w:r>
                  <w:r w:rsidRPr="00FD63D3">
                    <w:rPr>
                      <w:rFonts w:cs="Arial"/>
                      <w:sz w:val="22"/>
                      <w:szCs w:val="22"/>
                    </w:rPr>
                    <w:t xml:space="preserve">I used liquid oxygen as an oxidizer. It was cryogenic, meaning it had to be kept at an extremely low temperature, generally around-1950C. It had to be stored in special refrigerated tanks and pumped aboard the missile before it was fired. Liquid oxygen is extremely volatile, inflammable, and very difficult to handle, especially within the confines of an enclosed missile silo. </w:t>
                  </w:r>
                  <w:bookmarkStart w:id="0" w:name="_GoBack"/>
                  <w:bookmarkEnd w:id="0"/>
                </w:p>
                <w:p w14:paraId="5956C480" w14:textId="4389D88F" w:rsidR="00FD63D3" w:rsidRPr="00FD63D3" w:rsidRDefault="00FD63D3" w:rsidP="00DE3885">
                  <w:pPr>
                    <w:rPr>
                      <w:rFonts w:ascii="Times New Roman" w:hAnsi="Times New Roman"/>
                      <w:sz w:val="24"/>
                      <w:szCs w:val="24"/>
                    </w:rPr>
                  </w:pPr>
                </w:p>
              </w:tc>
            </w:tr>
          </w:tbl>
          <w:p w14:paraId="278F9DF8" w14:textId="77777777" w:rsidR="00DE3885" w:rsidRPr="00FD63D3" w:rsidRDefault="00DE3885" w:rsidP="00DE3885">
            <w:pPr>
              <w:rPr>
                <w:rFonts w:ascii="Times New Roman" w:hAnsi="Times New Roman"/>
                <w:vanish/>
                <w:sz w:val="24"/>
                <w:szCs w:val="24"/>
              </w:rPr>
            </w:pPr>
          </w:p>
          <w:tbl>
            <w:tblPr>
              <w:tblW w:w="0" w:type="auto"/>
              <w:tblCellMar>
                <w:top w:w="45" w:type="dxa"/>
                <w:left w:w="45" w:type="dxa"/>
                <w:bottom w:w="45" w:type="dxa"/>
                <w:right w:w="45" w:type="dxa"/>
              </w:tblCellMar>
              <w:tblLook w:val="0000" w:firstRow="0" w:lastRow="0" w:firstColumn="0" w:lastColumn="0" w:noHBand="0" w:noVBand="0"/>
            </w:tblPr>
            <w:tblGrid>
              <w:gridCol w:w="4890"/>
            </w:tblGrid>
            <w:tr w:rsidR="00DE3885" w:rsidRPr="00FD63D3" w14:paraId="1E34AFA4" w14:textId="77777777">
              <w:tc>
                <w:tcPr>
                  <w:tcW w:w="4890" w:type="dxa"/>
                  <w:tcBorders>
                    <w:top w:val="nil"/>
                    <w:left w:val="nil"/>
                    <w:bottom w:val="nil"/>
                    <w:right w:val="nil"/>
                  </w:tcBorders>
                  <w:shd w:val="clear" w:color="auto" w:fill="auto"/>
                  <w:vAlign w:val="center"/>
                </w:tcPr>
                <w:p w14:paraId="4BABF076" w14:textId="77777777" w:rsidR="00DE3885" w:rsidRPr="00FD63D3" w:rsidRDefault="00DE3885" w:rsidP="00DE3885">
                  <w:pPr>
                    <w:rPr>
                      <w:rFonts w:ascii="Times New Roman" w:hAnsi="Times New Roman"/>
                      <w:sz w:val="24"/>
                      <w:szCs w:val="24"/>
                    </w:rPr>
                  </w:pPr>
                  <w:r w:rsidRPr="00FD63D3">
                    <w:rPr>
                      <w:rFonts w:cs="Arial"/>
                      <w:b/>
                      <w:bCs/>
                    </w:rPr>
                    <w:t>SPECIFICATIONS</w:t>
                  </w:r>
                  <w:r w:rsidRPr="00FD63D3">
                    <w:rPr>
                      <w:rFonts w:cs="Arial"/>
                    </w:rPr>
                    <w:t xml:space="preserve"> </w:t>
                  </w:r>
                </w:p>
              </w:tc>
            </w:tr>
            <w:tr w:rsidR="00DE3885" w:rsidRPr="00FD63D3" w14:paraId="325A2738" w14:textId="77777777">
              <w:tc>
                <w:tcPr>
                  <w:tcW w:w="4890" w:type="dxa"/>
                  <w:tcBorders>
                    <w:top w:val="nil"/>
                    <w:left w:val="nil"/>
                    <w:bottom w:val="nil"/>
                    <w:right w:val="nil"/>
                  </w:tcBorders>
                  <w:shd w:val="clear" w:color="auto" w:fill="auto"/>
                  <w:vAlign w:val="center"/>
                </w:tcPr>
                <w:p w14:paraId="6642F912" w14:textId="77777777" w:rsidR="00DE3885" w:rsidRPr="00FD63D3" w:rsidRDefault="00DE3885" w:rsidP="00DE3885">
                  <w:pPr>
                    <w:rPr>
                      <w:rFonts w:ascii="Times New Roman" w:hAnsi="Times New Roman"/>
                      <w:sz w:val="24"/>
                      <w:szCs w:val="24"/>
                    </w:rPr>
                  </w:pPr>
                  <w:r w:rsidRPr="00FD63D3">
                    <w:rPr>
                      <w:rFonts w:cs="Arial"/>
                      <w:b/>
                      <w:bCs/>
                    </w:rPr>
                    <w:t>Length:</w:t>
                  </w:r>
                  <w:r w:rsidRPr="00FD63D3">
                    <w:rPr>
                      <w:rFonts w:cs="Arial"/>
                    </w:rPr>
                    <w:t xml:space="preserve"> 98 ft. 4 in. </w:t>
                  </w:r>
                  <w:r w:rsidRPr="00FD63D3">
                    <w:rPr>
                      <w:rFonts w:cs="Arial"/>
                    </w:rPr>
                    <w:br/>
                  </w:r>
                  <w:r w:rsidRPr="00FD63D3">
                    <w:rPr>
                      <w:rFonts w:cs="Arial"/>
                      <w:b/>
                      <w:bCs/>
                    </w:rPr>
                    <w:t>Diameter:</w:t>
                  </w:r>
                  <w:r w:rsidRPr="00FD63D3">
                    <w:rPr>
                      <w:rFonts w:cs="Arial"/>
                    </w:rPr>
                    <w:t xml:space="preserve"> 10 ft. 0 in. </w:t>
                  </w:r>
                  <w:r w:rsidRPr="00FD63D3">
                    <w:rPr>
                      <w:rFonts w:cs="Arial"/>
                    </w:rPr>
                    <w:br/>
                  </w:r>
                  <w:r w:rsidRPr="00FD63D3">
                    <w:rPr>
                      <w:rFonts w:cs="Arial"/>
                      <w:b/>
                      <w:bCs/>
                    </w:rPr>
                    <w:t>Weight:</w:t>
                  </w:r>
                  <w:r w:rsidRPr="00FD63D3">
                    <w:rPr>
                      <w:rFonts w:cs="Arial"/>
                    </w:rPr>
                    <w:t xml:space="preserve"> 221,500 lbs. at launch </w:t>
                  </w:r>
                  <w:r w:rsidRPr="00FD63D3">
                    <w:rPr>
                      <w:rFonts w:cs="Arial"/>
                    </w:rPr>
                    <w:br/>
                  </w:r>
                  <w:r w:rsidRPr="00FD63D3">
                    <w:rPr>
                      <w:rFonts w:cs="Arial"/>
                      <w:b/>
                      <w:bCs/>
                    </w:rPr>
                    <w:t>Armament:</w:t>
                  </w:r>
                  <w:r w:rsidRPr="00FD63D3">
                    <w:rPr>
                      <w:rFonts w:cs="Arial"/>
                    </w:rPr>
                    <w:t xml:space="preserve"> Nuclear warhead </w:t>
                  </w:r>
                  <w:r w:rsidRPr="00FD63D3">
                    <w:rPr>
                      <w:rFonts w:cs="Arial"/>
                    </w:rPr>
                    <w:br/>
                  </w:r>
                  <w:r w:rsidRPr="00FD63D3">
                    <w:rPr>
                      <w:rFonts w:cs="Arial"/>
                      <w:b/>
                      <w:bCs/>
                    </w:rPr>
                    <w:t>Engines:</w:t>
                  </w:r>
                  <w:r w:rsidRPr="00FD63D3">
                    <w:rPr>
                      <w:rFonts w:cs="Arial"/>
                    </w:rPr>
                    <w:t xml:space="preserve"> Two Aerojet-General liquid propellant boosters; an </w:t>
                  </w:r>
                  <w:hyperlink r:id="rId6" w:tgtFrame="_top" w:history="1">
                    <w:r w:rsidRPr="00FD63D3">
                      <w:rPr>
                        <w:rFonts w:cs="Arial"/>
                        <w:u w:val="single"/>
                      </w:rPr>
                      <w:t>LR87</w:t>
                    </w:r>
                  </w:hyperlink>
                  <w:r w:rsidRPr="00FD63D3">
                    <w:rPr>
                      <w:rFonts w:cs="Arial"/>
                    </w:rPr>
                    <w:t xml:space="preserve"> first stage engine of 430,000 lbs. thrust and a second stage of 80,000 lbs. thrust </w:t>
                  </w:r>
                  <w:r w:rsidRPr="00FD63D3">
                    <w:rPr>
                      <w:rFonts w:cs="Arial"/>
                    </w:rPr>
                    <w:br/>
                  </w:r>
                  <w:r w:rsidRPr="00FD63D3">
                    <w:rPr>
                      <w:rFonts w:cs="Arial"/>
                      <w:b/>
                      <w:bCs/>
                    </w:rPr>
                    <w:t>Max. speed:</w:t>
                  </w:r>
                  <w:r w:rsidRPr="00FD63D3">
                    <w:rPr>
                      <w:rFonts w:cs="Arial"/>
                    </w:rPr>
                    <w:t xml:space="preserve"> 15,000 mph. / 13,904 knots </w:t>
                  </w:r>
                  <w:r w:rsidRPr="00FD63D3">
                    <w:rPr>
                      <w:rFonts w:cs="Arial"/>
                    </w:rPr>
                    <w:br/>
                  </w:r>
                  <w:r w:rsidRPr="00FD63D3">
                    <w:rPr>
                      <w:rFonts w:cs="Arial"/>
                      <w:b/>
                      <w:bCs/>
                    </w:rPr>
                    <w:t>Max. range:</w:t>
                  </w:r>
                  <w:r w:rsidRPr="00FD63D3">
                    <w:rPr>
                      <w:rFonts w:cs="Arial"/>
                    </w:rPr>
                    <w:t xml:space="preserve"> 6,300 statute miles / 5,475 nautical miles </w:t>
                  </w:r>
                  <w:r w:rsidRPr="00FD63D3">
                    <w:rPr>
                      <w:rFonts w:cs="Arial"/>
                    </w:rPr>
                    <w:br/>
                  </w:r>
                  <w:r w:rsidRPr="00FD63D3">
                    <w:rPr>
                      <w:rFonts w:cs="Arial"/>
                      <w:b/>
                      <w:bCs/>
                    </w:rPr>
                    <w:t>Max. altitude:</w:t>
                  </w:r>
                  <w:r w:rsidRPr="00FD63D3">
                    <w:rPr>
                      <w:rFonts w:cs="Arial"/>
                    </w:rPr>
                    <w:t xml:space="preserve"> 620 statute miles / 538 nautical miles</w:t>
                  </w:r>
                  <w:r w:rsidRPr="00FD63D3">
                    <w:rPr>
                      <w:rFonts w:cs="Arial"/>
                    </w:rPr>
                    <w:br/>
                  </w:r>
                  <w:r w:rsidRPr="00FD63D3">
                    <w:rPr>
                      <w:rFonts w:cs="Arial"/>
                      <w:b/>
                      <w:bCs/>
                    </w:rPr>
                    <w:t>Cost:</w:t>
                  </w:r>
                  <w:r w:rsidRPr="00FD63D3">
                    <w:rPr>
                      <w:rFonts w:cs="Arial"/>
                    </w:rPr>
                    <w:t xml:space="preserve"> $1,502,000</w:t>
                  </w:r>
                </w:p>
              </w:tc>
            </w:tr>
          </w:tbl>
          <w:p w14:paraId="479F569A" w14:textId="77777777" w:rsidR="00DE3885" w:rsidRPr="00FD63D3" w:rsidRDefault="00DE3885" w:rsidP="00DE3885">
            <w:pPr>
              <w:rPr>
                <w:rFonts w:ascii="Times New Roman" w:hAnsi="Times New Roman"/>
                <w:sz w:val="24"/>
                <w:szCs w:val="24"/>
              </w:rPr>
            </w:pPr>
          </w:p>
        </w:tc>
      </w:tr>
    </w:tbl>
    <w:p w14:paraId="538040E4" w14:textId="77777777" w:rsidR="007A337A" w:rsidRPr="00FD63D3" w:rsidRDefault="007A337A"/>
    <w:p w14:paraId="7A464F3B" w14:textId="77777777" w:rsidR="007A337A" w:rsidRPr="00FD63D3" w:rsidRDefault="007A337A">
      <w:r w:rsidRPr="00FD63D3">
        <w:br w:type="page"/>
      </w:r>
    </w:p>
    <w:tbl>
      <w:tblPr>
        <w:tblW w:w="9750" w:type="dxa"/>
        <w:tblCellMar>
          <w:top w:w="45" w:type="dxa"/>
          <w:left w:w="45" w:type="dxa"/>
          <w:bottom w:w="45" w:type="dxa"/>
          <w:right w:w="45" w:type="dxa"/>
        </w:tblCellMar>
        <w:tblLook w:val="0000" w:firstRow="0" w:lastRow="0" w:firstColumn="0" w:lastColumn="0" w:noHBand="0" w:noVBand="0"/>
      </w:tblPr>
      <w:tblGrid>
        <w:gridCol w:w="9750"/>
      </w:tblGrid>
      <w:tr w:rsidR="00FD63D3" w:rsidRPr="00FD63D3" w14:paraId="071008CC" w14:textId="77777777">
        <w:tc>
          <w:tcPr>
            <w:tcW w:w="0" w:type="auto"/>
            <w:tcBorders>
              <w:top w:val="nil"/>
              <w:left w:val="nil"/>
              <w:bottom w:val="nil"/>
              <w:right w:val="nil"/>
            </w:tcBorders>
            <w:shd w:val="clear" w:color="auto" w:fill="auto"/>
            <w:vAlign w:val="center"/>
          </w:tcPr>
          <w:p w14:paraId="021D4FC9" w14:textId="0F9268F2" w:rsidR="007A337A" w:rsidRPr="00FD63D3" w:rsidRDefault="007A337A" w:rsidP="007A337A">
            <w:pPr>
              <w:rPr>
                <w:rFonts w:cs="Arial"/>
                <w:b/>
                <w:bCs/>
                <w:sz w:val="27"/>
                <w:szCs w:val="27"/>
              </w:rPr>
            </w:pPr>
            <w:r w:rsidRPr="00FD63D3">
              <w:rPr>
                <w:rFonts w:cs="Arial"/>
                <w:b/>
                <w:bCs/>
                <w:sz w:val="27"/>
                <w:szCs w:val="27"/>
              </w:rPr>
              <w:t>Titan</w:t>
            </w:r>
            <w:r w:rsidR="00FD63D3" w:rsidRPr="00FD63D3">
              <w:rPr>
                <w:rFonts w:cs="Arial"/>
                <w:b/>
                <w:bCs/>
                <w:sz w:val="27"/>
                <w:szCs w:val="27"/>
              </w:rPr>
              <w:t>-</w:t>
            </w:r>
            <w:r w:rsidRPr="00FD63D3">
              <w:rPr>
                <w:rFonts w:cs="Arial"/>
                <w:b/>
                <w:bCs/>
                <w:sz w:val="27"/>
                <w:szCs w:val="27"/>
              </w:rPr>
              <w:t>I Launch Sequence</w:t>
            </w:r>
          </w:p>
          <w:p w14:paraId="765A738E" w14:textId="1C1238E4" w:rsidR="00FD63D3" w:rsidRPr="00FD63D3" w:rsidRDefault="00FD63D3" w:rsidP="007A337A">
            <w:pPr>
              <w:rPr>
                <w:rFonts w:ascii="Times New Roman" w:hAnsi="Times New Roman"/>
                <w:sz w:val="24"/>
                <w:szCs w:val="24"/>
              </w:rPr>
            </w:pPr>
          </w:p>
        </w:tc>
      </w:tr>
    </w:tbl>
    <w:p w14:paraId="0D2E377B" w14:textId="77777777" w:rsidR="007A337A" w:rsidRPr="00FD63D3" w:rsidRDefault="007A337A" w:rsidP="007A337A">
      <w:pPr>
        <w:rPr>
          <w:rFonts w:ascii="Times New Roman" w:hAnsi="Times New Roman"/>
          <w:vanish/>
          <w:sz w:val="24"/>
          <w:szCs w:val="24"/>
        </w:rPr>
      </w:pPr>
    </w:p>
    <w:tbl>
      <w:tblPr>
        <w:tblW w:w="9750" w:type="dxa"/>
        <w:tblCellMar>
          <w:top w:w="45" w:type="dxa"/>
          <w:left w:w="45" w:type="dxa"/>
          <w:bottom w:w="45" w:type="dxa"/>
          <w:right w:w="45" w:type="dxa"/>
        </w:tblCellMar>
        <w:tblLook w:val="0000" w:firstRow="0" w:lastRow="0" w:firstColumn="0" w:lastColumn="0" w:noHBand="0" w:noVBand="0"/>
      </w:tblPr>
      <w:tblGrid>
        <w:gridCol w:w="9750"/>
      </w:tblGrid>
      <w:tr w:rsidR="00FD63D3" w:rsidRPr="00FD63D3" w14:paraId="13F6AF38" w14:textId="77777777">
        <w:tc>
          <w:tcPr>
            <w:tcW w:w="0" w:type="auto"/>
            <w:tcBorders>
              <w:top w:val="nil"/>
              <w:left w:val="nil"/>
              <w:bottom w:val="nil"/>
              <w:right w:val="nil"/>
            </w:tcBorders>
            <w:shd w:val="clear" w:color="auto" w:fill="auto"/>
            <w:vAlign w:val="center"/>
          </w:tcPr>
          <w:p w14:paraId="41131418" w14:textId="3C251D14" w:rsidR="00DC42B2" w:rsidRPr="00FD63D3" w:rsidRDefault="007A337A" w:rsidP="007A337A">
            <w:pPr>
              <w:spacing w:before="100" w:beforeAutospacing="1" w:after="100" w:afterAutospacing="1"/>
              <w:jc w:val="center"/>
              <w:rPr>
                <w:rFonts w:ascii="Times New Roman" w:hAnsi="Times New Roman"/>
                <w:sz w:val="24"/>
                <w:szCs w:val="24"/>
              </w:rPr>
            </w:pPr>
            <w:r w:rsidRPr="00FD63D3">
              <w:rPr>
                <w:rFonts w:ascii="Times New Roman" w:hAnsi="Times New Roman"/>
                <w:sz w:val="24"/>
                <w:szCs w:val="24"/>
              </w:rPr>
              <w:t> </w:t>
            </w:r>
            <w:r w:rsidR="00FD63D3" w:rsidRPr="00FD63D3">
              <w:rPr>
                <w:rFonts w:ascii="Times New Roman" w:hAnsi="Times New Roman"/>
                <w:noProof/>
                <w:sz w:val="24"/>
                <w:szCs w:val="24"/>
              </w:rPr>
              <w:drawing>
                <wp:inline distT="0" distB="0" distL="0" distR="0" wp14:anchorId="1BF03D3F" wp14:editId="65EC7A85">
                  <wp:extent cx="5886450"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3429000"/>
                          </a:xfrm>
                          <a:prstGeom prst="rect">
                            <a:avLst/>
                          </a:prstGeom>
                          <a:noFill/>
                          <a:ln>
                            <a:noFill/>
                          </a:ln>
                        </pic:spPr>
                      </pic:pic>
                    </a:graphicData>
                  </a:graphic>
                </wp:inline>
              </w:drawing>
            </w:r>
          </w:p>
        </w:tc>
      </w:tr>
      <w:tr w:rsidR="00FD63D3" w:rsidRPr="00FD63D3" w14:paraId="700DECDD" w14:textId="77777777">
        <w:tc>
          <w:tcPr>
            <w:tcW w:w="0" w:type="auto"/>
            <w:tcBorders>
              <w:top w:val="nil"/>
              <w:left w:val="nil"/>
              <w:bottom w:val="nil"/>
              <w:right w:val="nil"/>
            </w:tcBorders>
            <w:shd w:val="clear" w:color="auto" w:fill="auto"/>
            <w:vAlign w:val="center"/>
          </w:tcPr>
          <w:p w14:paraId="70F903C3" w14:textId="77777777" w:rsidR="00FD63D3" w:rsidRPr="00FD63D3" w:rsidRDefault="00FD63D3" w:rsidP="007A337A">
            <w:pPr>
              <w:rPr>
                <w:rFonts w:cs="Arial"/>
              </w:rPr>
            </w:pPr>
          </w:p>
          <w:p w14:paraId="7B30735E" w14:textId="4EAD7F49" w:rsidR="00FD63D3" w:rsidRPr="00FD63D3" w:rsidRDefault="007A337A" w:rsidP="007A337A">
            <w:pPr>
              <w:rPr>
                <w:rFonts w:cs="Arial"/>
              </w:rPr>
            </w:pPr>
            <w:r w:rsidRPr="00FD63D3">
              <w:rPr>
                <w:rFonts w:cs="Arial"/>
              </w:rPr>
              <w:t>The launch sequence took approximately 15 minutes. After receiving a launch order, the crew filled the missile's tanks with 200,000 pounds of liquid oxygen and RP-1. After the missile was fueled, it rode to the surface on the silo elevator and then was fired. The flight began with the ignition of the large first-stage engine that burned for 134 seconds and propelled the missile to an altitude of 35 miles.</w:t>
            </w:r>
          </w:p>
          <w:p w14:paraId="313F2818" w14:textId="77777777" w:rsidR="00FD63D3" w:rsidRPr="00FD63D3" w:rsidRDefault="00FD63D3" w:rsidP="007A337A">
            <w:pPr>
              <w:rPr>
                <w:rFonts w:cs="Arial"/>
              </w:rPr>
            </w:pPr>
          </w:p>
          <w:p w14:paraId="049ECC31" w14:textId="77777777" w:rsidR="00FD63D3" w:rsidRPr="00FD63D3" w:rsidRDefault="007A337A" w:rsidP="007A337A">
            <w:pPr>
              <w:rPr>
                <w:rFonts w:cs="Arial"/>
              </w:rPr>
            </w:pPr>
            <w:r w:rsidRPr="00FD63D3">
              <w:rPr>
                <w:rFonts w:cs="Arial"/>
              </w:rPr>
              <w:t xml:space="preserve">As the first stage expired and fell away, the second stage fired; it burned for another 156 seconds, boosting the missile to an altitude of150 miles and a velocity of 22,554 feet per second. </w:t>
            </w:r>
          </w:p>
          <w:p w14:paraId="7F0900E8" w14:textId="77777777" w:rsidR="00FD63D3" w:rsidRPr="00FD63D3" w:rsidRDefault="00FD63D3" w:rsidP="007A337A">
            <w:pPr>
              <w:rPr>
                <w:rFonts w:cs="Arial"/>
              </w:rPr>
            </w:pPr>
          </w:p>
          <w:p w14:paraId="3D74A4CC" w14:textId="77404E7F" w:rsidR="00FD63D3" w:rsidRPr="00FD63D3" w:rsidRDefault="007A337A" w:rsidP="007A337A">
            <w:pPr>
              <w:rPr>
                <w:rFonts w:cs="Arial"/>
              </w:rPr>
            </w:pPr>
            <w:r w:rsidRPr="00FD63D3">
              <w:rPr>
                <w:rFonts w:cs="Arial"/>
              </w:rPr>
              <w:t xml:space="preserve">After the second stage fen silent, two small </w:t>
            </w:r>
            <w:r w:rsidR="00FD63D3" w:rsidRPr="00FD63D3">
              <w:rPr>
                <w:rFonts w:cs="Arial"/>
              </w:rPr>
              <w:t>Vernier</w:t>
            </w:r>
            <w:r w:rsidRPr="00FD63D3">
              <w:rPr>
                <w:rFonts w:cs="Arial"/>
              </w:rPr>
              <w:t xml:space="preserve"> engines fired for an additional 50 seconds making final course corrections to the trajectory</w:t>
            </w:r>
            <w:r w:rsidR="00FD63D3" w:rsidRPr="00FD63D3">
              <w:rPr>
                <w:rFonts w:cs="Arial"/>
              </w:rPr>
              <w:t>.</w:t>
            </w:r>
            <w:r w:rsidRPr="00FD63D3">
              <w:rPr>
                <w:rFonts w:cs="Arial"/>
              </w:rPr>
              <w:t xml:space="preserve"> </w:t>
            </w:r>
          </w:p>
          <w:p w14:paraId="261FF7D7" w14:textId="77777777" w:rsidR="00FD63D3" w:rsidRPr="00FD63D3" w:rsidRDefault="00FD63D3" w:rsidP="007A337A">
            <w:pPr>
              <w:rPr>
                <w:rFonts w:cs="Arial"/>
              </w:rPr>
            </w:pPr>
          </w:p>
          <w:p w14:paraId="79ACAA4B" w14:textId="019BBCFA" w:rsidR="007A337A" w:rsidRPr="00FD63D3" w:rsidRDefault="007A337A" w:rsidP="007A337A">
            <w:pPr>
              <w:rPr>
                <w:rFonts w:ascii="Times New Roman" w:hAnsi="Times New Roman"/>
                <w:sz w:val="24"/>
                <w:szCs w:val="24"/>
              </w:rPr>
            </w:pPr>
            <w:r w:rsidRPr="00FD63D3">
              <w:rPr>
                <w:rFonts w:cs="Arial"/>
              </w:rPr>
              <w:t xml:space="preserve">After the </w:t>
            </w:r>
            <w:r w:rsidR="00FD63D3" w:rsidRPr="00FD63D3">
              <w:rPr>
                <w:rFonts w:cs="Arial"/>
              </w:rPr>
              <w:t>Vernier</w:t>
            </w:r>
            <w:r w:rsidRPr="00FD63D3">
              <w:rPr>
                <w:rFonts w:cs="Arial"/>
              </w:rPr>
              <w:t xml:space="preserve"> engines burned out, the reent6 vehicle carrying the war-head followed a ballistic trajectory, and at the apogee of its flight soared to an altitude of 541 miles above the earth's surface. Time elapsed for a 5,500 mile flight: 33 minutes. </w:t>
            </w:r>
          </w:p>
        </w:tc>
      </w:tr>
    </w:tbl>
    <w:p w14:paraId="6144D098" w14:textId="77777777" w:rsidR="00A508F7" w:rsidRPr="00FD63D3" w:rsidRDefault="00A508F7"/>
    <w:sectPr w:rsidR="00A508F7" w:rsidRPr="00FD63D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34298"/>
    <w:rsid w:val="007A337A"/>
    <w:rsid w:val="00A508F7"/>
    <w:rsid w:val="00DC42B2"/>
    <w:rsid w:val="00DE3885"/>
    <w:rsid w:val="00F6690E"/>
    <w:rsid w:val="00FD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9A853"/>
  <w15:chartTrackingRefBased/>
  <w15:docId w15:val="{C5B1CD29-C1DB-4875-AE11-8953471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DE3885"/>
    <w:rPr>
      <w:color w:val="000080"/>
      <w:u w:val="single"/>
    </w:rPr>
  </w:style>
  <w:style w:type="paragraph" w:styleId="NormalWeb">
    <w:name w:val="Normal (Web)"/>
    <w:basedOn w:val="Normal"/>
    <w:rsid w:val="007A337A"/>
    <w:pPr>
      <w:spacing w:before="100" w:beforeAutospacing="1" w:after="100" w:afterAutospacing="1"/>
    </w:pPr>
    <w:rPr>
      <w:rFonts w:ascii="Times New Roman" w:hAnsi="Times New Roman"/>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pafb.af.mil/museum/space_flight/sf8.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Titan Missile Technical Information</vt:lpstr>
    </vt:vector>
  </TitlesOfParts>
  <Company>Development Technologies, Inc.</Company>
  <LinksUpToDate>false</LinksUpToDate>
  <CharactersWithSpaces>2495</CharactersWithSpaces>
  <SharedDoc>false</SharedDoc>
  <HLinks>
    <vt:vector size="6" baseType="variant">
      <vt:variant>
        <vt:i4>2621531</vt:i4>
      </vt:variant>
      <vt:variant>
        <vt:i4>3</vt:i4>
      </vt:variant>
      <vt:variant>
        <vt:i4>0</vt:i4>
      </vt:variant>
      <vt:variant>
        <vt:i4>5</vt:i4>
      </vt:variant>
      <vt:variant>
        <vt:lpwstr>http://www.wpafb.af.mil/museum/space_flight/sf8.htm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Titan Missile Technical Information</dc:title>
  <dc:subject/>
  <dc:creator>Tino Randall</dc:creator>
  <cp:keywords/>
  <dc:description/>
  <cp:lastModifiedBy>Tino Randall</cp:lastModifiedBy>
  <cp:revision>2</cp:revision>
  <dcterms:created xsi:type="dcterms:W3CDTF">2020-03-09T16:35:00Z</dcterms:created>
  <dcterms:modified xsi:type="dcterms:W3CDTF">2020-03-09T16:35:00Z</dcterms:modified>
</cp:coreProperties>
</file>